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left"/>
        <w:rPr>
          <w:b w:val="false"/>
          <w:bCs w:val="false"/>
          <w:color w:val="000000"/>
          <w:sz w:val="16"/>
          <w:szCs w:val="16"/>
        </w:rPr>
      </w:pPr>
      <w:r>
        <w:rPr>
          <w:b w:val="false"/>
          <w:bCs w:val="false"/>
          <w:color w:val="000000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9373235</wp:posOffset>
            </wp:positionH>
            <wp:positionV relativeFrom="paragraph">
              <wp:posOffset>-170180</wp:posOffset>
            </wp:positionV>
            <wp:extent cx="514985" cy="514985"/>
            <wp:effectExtent l="0" t="0" r="0" b="0"/>
            <wp:wrapSquare wrapText="largest"/>
            <wp:docPr id="1" name="HTTPS://BUREAUDESPROFS.COM/CATEGORY/RESSOURCE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TPS://BUREAUDESPROFS.COM/CATEGORY/RESSOURCE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1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Matière : Mathématiques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color w:val="000000"/>
          <w:sz w:val="36"/>
        </w:rPr>
        <w:t>Découverte des nombres et des quantités</w:t>
      </w:r>
    </w:p>
    <w:p>
      <w:pPr>
        <w:pStyle w:val="BodyText"/>
        <w:jc w:val="left"/>
        <w:rPr>
          <w:b w:val="false"/>
          <w:bCs w:val="false"/>
          <w:color w:val="000000"/>
          <w:sz w:val="36"/>
          <w:szCs w:val="36"/>
        </w:rPr>
      </w:pPr>
      <w:r>
        <w:rPr>
          <w:b w:val="false"/>
          <w:bCs w:val="false"/>
          <w:color w:val="000000"/>
          <w:sz w:val="36"/>
          <w:szCs w:val="36"/>
        </w:rPr>
      </w:r>
    </w:p>
    <w:p>
      <w:pPr>
        <w:pStyle w:val="BodyText"/>
        <w:numPr>
          <w:ilvl w:val="0"/>
          <w:numId w:val="2"/>
        </w:numPr>
        <w:jc w:val="left"/>
        <w:rPr>
          <w:sz w:val="40"/>
          <w:szCs w:val="40"/>
        </w:rPr>
      </w:pPr>
      <w:r>
        <w:rPr>
          <w:b w:val="false"/>
          <w:color w:val="000000"/>
          <w:sz w:val="40"/>
        </w:rPr>
        <w:t>Séquence :</w:t>
      </w:r>
      <w:r>
        <w:rPr>
          <w:b/>
          <w:color w:val="000000"/>
          <w:sz w:val="40"/>
        </w:rPr>
        <w:t xml:space="preserve"> </w:t>
      </w:r>
      <w:r>
        <w:rPr>
          <w:b/>
          <w:color w:val="006400"/>
          <w:sz w:val="40"/>
        </w:rPr>
        <w:t>Dénombrement jusqu'à 10 : la boulangerie de la classe</w:t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p>
      <w:pPr>
        <w:pStyle w:val="BodyText"/>
        <w:numPr>
          <w:ilvl w:val="0"/>
          <w:numId w:val="0"/>
        </w:numPr>
        <w:ind w:hanging="0" w:left="720"/>
        <w:jc w:val="left"/>
        <w:rPr>
          <w:b/>
          <w:bCs/>
          <w:color w:val="000000"/>
          <w:sz w:val="4"/>
          <w:szCs w:val="4"/>
        </w:rPr>
      </w:pPr>
      <w:r>
        <w:rPr>
          <w:b/>
          <w:bCs/>
          <w:color w:val="000000"/>
          <w:sz w:val="4"/>
          <w:szCs w:val="4"/>
        </w:rPr>
      </w:r>
    </w:p>
    <w:tbl>
      <w:tblPr>
        <w:tblW w:w="16095" w:type="dxa"/>
        <w:jc w:val="left"/>
        <w:tblInd w:w="-2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95"/>
      </w:tblGrid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Niveau</w:t>
            </w:r>
            <w:r>
              <w:rPr>
                <w:sz w:val="28"/>
              </w:rPr>
              <w:t xml:space="preserve"> MS / GS – </w:t>
            </w:r>
            <w:r>
              <w:rPr>
                <w:b/>
                <w:sz w:val="28"/>
              </w:rPr>
              <w:t>Nombre de séances</w:t>
            </w:r>
            <w:r>
              <w:rPr>
                <w:sz w:val="28"/>
              </w:rPr>
              <w:t> : 3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u w:val="single"/>
              </w:rPr>
              <w:t>Objectif</w:t>
            </w:r>
            <w:r>
              <w:rPr>
                <w:b w:val="false"/>
                <w:sz w:val="28"/>
              </w:rPr>
              <w:t xml:space="preserve">: </w:t>
            </w:r>
            <w:r>
              <w:rPr>
                <w:b/>
                <w:i w:val="false"/>
                <w:color w:val="006400"/>
                <w:sz w:val="28"/>
              </w:rPr>
              <w:t>Stabiliser le dénombrement de collections jusqu'à 10 en situation de jeu symbolique structuré.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Notions</w:t>
            </w:r>
            <w:r>
              <w:rPr>
                <w:b w:val="false"/>
                <w:sz w:val="26"/>
              </w:rPr>
              <w:t xml:space="preserve">: </w:t>
            </w:r>
            <w:r>
              <w:rPr>
                <w:b w:val="false"/>
                <w:i/>
                <w:sz w:val="26"/>
              </w:rPr>
              <w:t>dénombrement, cardinal jusqu'à 10, correspondance terme à terme, composition et décomposition de petites quantités, jeu de rôle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/>
                <w:sz w:val="26"/>
              </w:rPr>
              <w:t>Variables et différenciation</w:t>
            </w:r>
            <w:r>
              <w:rPr>
                <w:b w:val="false"/>
                <w:sz w:val="26"/>
              </w:rPr>
              <w:t>: Élèves en réussite → augmenter le nombre d'articles achetés (jusqu'à 10) ; introduire des prix à 2 € ; demander de calculer le total sans support.</w:t>
              <w:br/>
              <w:t>Élèves à besoins → limiter à 3 articles ; utiliser une bande numérique visuelle ; autoriser le comptage un à un avec les doigts ; étiquettes de prix illustrées (points et chiffre).</w:t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detableauuser"/>
              <w:bidi w:val="0"/>
              <w:jc w:val="left"/>
              <w:rPr>
                <w:rFonts w:ascii="Arial" w:hAnsi="Arial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préparation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b/>
          <w:bCs/>
          <w:color w:val="000000"/>
          <w:sz w:val="32"/>
          <w:szCs w:val="32"/>
          <w:u w:val="none"/>
        </w:rPr>
        <w:t xml:space="preserve">                                                   </w:t>
      </w:r>
      <w:hyperlink r:id="rId4">
        <w:r>
          <w:rPr>
            <w:rStyle w:val="Hyperlink"/>
            <w:b w:val="false"/>
            <w:bCs w:val="false"/>
            <w:i/>
            <w:iCs/>
            <w:color w:val="000000"/>
            <w:sz w:val="24"/>
            <w:szCs w:val="24"/>
            <w:u w:val="none"/>
          </w:rPr>
          <w:t>D’autres ressources à télécharger sur :</w:t>
        </w:r>
        <w:r>
          <w:rPr>
            <w:rStyle w:val="Hyperlink"/>
            <w:b w:val="false"/>
            <w:bCs w:val="false"/>
            <w:color w:val="000000"/>
            <w:sz w:val="24"/>
            <w:szCs w:val="24"/>
            <w:u w:val="none"/>
          </w:rPr>
          <w:t xml:space="preserve"> </w:t>
        </w:r>
      </w:hyperlink>
      <w:hyperlink r:id="rId5">
        <w:r>
          <w:rPr>
            <w:rStyle w:val="Hyperlink"/>
            <w:b w:val="false"/>
            <w:bCs w:val="false"/>
            <w:color w:val="127622"/>
            <w:sz w:val="24"/>
            <w:szCs w:val="24"/>
          </w:rPr>
          <w:t>https://bureaudesprofs.com/</w:t>
        </w:r>
      </w:hyperlink>
    </w:p>
    <w:p>
      <w:pPr>
        <w:pStyle w:val="Normal"/>
        <w:bidi w:val="0"/>
        <w:spacing w:before="0" w:after="0"/>
        <w:jc w:val="left"/>
        <w:rPr>
          <w:rFonts w:ascii="Arial" w:hAnsi="Arial"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numPr>
          <w:ilvl w:val="0"/>
          <w:numId w:val="1"/>
        </w:numPr>
        <w:bidi w:val="0"/>
        <w:spacing w:before="0" w:after="0"/>
        <w:jc w:val="left"/>
        <w:rPr>
          <w:color w:val="000000"/>
        </w:rPr>
      </w:pPr>
      <w:r>
        <w:rPr>
          <w:b w:val="false"/>
          <w:color w:val="000000"/>
          <w:sz w:val="24"/>
        </w:rPr>
        <w:t>Stabiliser le dénombrement de collections jusqu'à 10 en situation de jeu symbolique structuré.</w:t>
      </w:r>
    </w:p>
    <w:p>
      <w:pPr>
        <w:pStyle w:val="Normal"/>
        <w:numPr>
          <w:ilvl w:val="0"/>
          <w:numId w:val="0"/>
        </w:numPr>
        <w:bidi w:val="0"/>
        <w:spacing w:before="0" w:after="0"/>
        <w:ind w:hanging="0" w:left="720"/>
        <w:jc w:val="left"/>
        <w:rPr>
          <w:rFonts w:ascii="Arial" w:hAnsi="Arial"/>
          <w:b/>
          <w:bCs/>
          <w:sz w:val="32"/>
          <w:szCs w:val="32"/>
        </w:rPr>
      </w:pPr>
      <w:r>
        <w:rPr>
          <w:b w:val="false"/>
          <w:bCs w:val="false"/>
          <w:color w:val="127622"/>
          <w:sz w:val="24"/>
          <w:szCs w:val="24"/>
        </w:rPr>
        <w:tab/>
      </w:r>
    </w:p>
    <w:tbl>
      <w:tblPr>
        <w:tblW w:w="16209" w:type="dxa"/>
        <w:jc w:val="left"/>
        <w:tblInd w:w="-3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3"/>
        <w:gridCol w:w="5491"/>
        <w:gridCol w:w="7995"/>
      </w:tblGrid>
      <w:tr>
        <w:trPr>
          <w:trHeight w:val="623" w:hRule="atLeast"/>
        </w:trPr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i w:val="false"/>
                <w:iCs w:val="false"/>
                <w:color w:val="333333"/>
              </w:rPr>
            </w:pPr>
            <w:r>
              <w:rPr>
                <w:b/>
                <w:i w:val="false"/>
                <w:color w:val="333333"/>
                <w:sz w:val="28"/>
              </w:rPr>
              <w:t>MS / GS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Objectif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Déroulement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1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Découverte du jeu de la boulangerie.</w:t>
              <w:br/>
              <w:t>(Dénombrement, cardinal, jetons)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Découvrir le fonctionnement du jeu et s'approprier la procédure de dénombrement des pièces.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Tissage ; 5 min</w:t>
              <w:br/>
              <w:br/>
              <w:t>Rappel collectif de la comptine numérique jusqu'à 10 en frappant les syllabes.</w:t>
              <w:br/>
              <w:t>Montrer un tas de pièces (jetons ronds dorés) et demander : « Combien y en a-t-il ? »</w:t>
              <w:br/>
              <w:t>Laisser les élèves proposer des procédures librement.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Découverte ; 20 min</w:t>
              <w:br/>
              <w:br/>
              <w:t>Présenter le matériel : viennoiseries et pains en carton plastifié, prix fixé à 1 jeton partout, porte-monnaie avec 10 jetons par acheteur, rôles boulanger / client (2 élèves jouent, 4 observent).</w:t>
              <w:br/>
              <w:br/>
              <w:t>L'enseignant modélise en verbalisant chaque geste.</w:t>
              <w:br/>
              <w:t>« Je compte mes jetons : un, deux... j'en ai dix. »</w:t>
              <w:br/>
              <w:t>« Je choisis deux croissants. Je dois donner deux jetons. »</w:t>
              <w:br/>
              <w:t>« Je compte ce qu'il me reste. »</w:t>
              <w:br/>
              <w:br/>
              <w:t>Rotation des rôles après deux achats chacun.</w:t>
              <w:br/>
              <w:t>Chaque acheteur ne peut acheter que 5 articles au maximum.</w:t>
              <w:br/>
              <w:br/>
              <w:t>Différenciation → Élèves à besoins : bande numérique posée devant eux pour pointer le chiffre correspondant. Élèves en réussite : annoncer oralement le total restant sans recompter.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5 min</w:t>
              <w:br/>
              <w:br/>
              <w:t>Retour collectif oral autour du matériel.</w:t>
              <w:br/>
              <w:t>« Qu'est-ce que le boulanger a reçu comme jetons au total ? »</w:t>
              <w:br/>
              <w:t>Compter ensemble les jetons du boulanger et écrire le nombre sur une affiche collective « Aujourd'hui, le boulanger a gagné : ... ».</w:t>
              <w:br/>
              <w:t>Laisser une trace visuelle (affiche) affichée dans le coin jeu.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2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color w:val="000000"/>
                <w:sz w:val="28"/>
                <w:u w:val="none"/>
              </w:rPr>
              <w:t>Associer un prix variable à une quantité de jetons.</w:t>
              <w:br/>
              <w:t>(Décomposition, prix, correspondance terme à terme)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u w:val="none"/>
                <w:shd w:fill="auto" w:val="clear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Associer une quantité demandée à un prix variable et commencer à décomposer de petites sommes.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Réactivation ; 5 min</w:t>
              <w:br/>
              <w:br/>
              <w:t>Rappel rapide des règles du jeu à partir de l'affiche de la séance 1.</w:t>
              <w:br/>
              <w:t>Question orale : « Si j'ai 6 jetons et que j'achète 2 brioches à 1 jeton chacune, combien m'en reste-t-il ? »</w:t>
              <w:br/>
              <w:t>Laisser les élèves répondre librement ; noter les stratégies au tableau (dessin, comptage, calcul mental).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Apprentissage ; 20 min</w:t>
              <w:br/>
              <w:br/>
              <w:t>Nouveauté : les prix varient (1 ou 2 jetons selon l'article, étiquettes affichées avec le chiffre et les points correspondants).</w:t>
              <w:br/>
              <w:t>Chaque acheteur repart avec 10 jetons.</w:t>
              <w:br/>
              <w:t>Les rôles sont attribués par l'enseignant ; tous les élèves jouent (2 binômes simultanés, l'enseignant circule).</w:t>
              <w:br/>
              <w:br/>
              <w:t>Consigne au boulanger : « Dis à voix haute le prix de chaque article vendu. »</w:t>
              <w:br/>
              <w:t>Consigne à l'acheteur : « Avant de payer, annonce combien de jetons tu vas donner. »</w:t>
              <w:br/>
              <w:br/>
              <w:t>Après chaque achat, l'acheteur dénombre ses jetons restants à voix haute.</w:t>
              <w:br/>
              <w:br/>
              <w:t>Différenciation → Élèves à besoins : étiquettes avec points à correspondance visuelle directe (2 points = 2 jetons) ; achat d'un seul article à la fois. Élèves en réussite : achat de 3 articles en une fois, calcul du total avant de payer.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Synthèse ; 5 min</w:t>
              <w:br/>
              <w:br/>
              <w:t>Mise en commun : « Comment avez-vous fait pour savoir combien de jetons donner ? »</w:t>
              <w:br/>
              <w:t>Formuler collectivement : « Le nombre de jetons donnés est égal au prix de l'article. »</w:t>
              <w:br/>
              <w:t>Compléter l'affiche collective avec les recettes du boulanger de la séance.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  <w:t>Séance 3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</w:rPr>
              <w:t>30 min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Entraînement autonome et rendu de monnaie (GS).</w:t>
              <w:br/>
              <w:t>(Autonomie, dénombrement, rendu de monnaie)</w:t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  <w:p>
            <w:pPr>
              <w:pStyle w:val="Contenudetableauuser"/>
              <w:bidi w:val="0"/>
              <w:jc w:val="center"/>
              <w:rPr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</w:r>
          </w:p>
        </w:tc>
        <w:tc>
          <w:tcPr>
            <w:tcW w:w="549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Consolider le dénombrement jusqu'à 10 en autonomie et commencer à rendre la monnaie sur 5 jetons (GS).</w:t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Réactivation ; 5 min</w:t>
              <w:br/>
              <w:br/>
              <w:t>Jeu rapide : l'enseignant montre une carte-nombre (ex. : 7) et les élèves doivent sortir exactement ce nombre de jetons de leur porte-monnaie.</w:t>
              <w:br/>
              <w:t>Correction immédiate par comptage collectif.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Entraînement ; 20 min</w:t>
              <w:br/>
              <w:br/>
              <w:t>Les élèves jouent en autonomie complète par binômes (l'enseignant observe et note).</w:t>
              <w:br/>
              <w:t>Les prix varient de 1 à 3 jetons ; chaque acheteur repart avec 10 jetons.</w:t>
              <w:br/>
              <w:br/>
              <w:t>Pour les GS uniquement : introduire la notion de rendu de monnaie sur 5 jetons.</w:t>
              <w:br/>
              <w:t>« Tu me dois 3 jetons. Tu me donnes 5. Je te rends... combien ? »</w:t>
              <w:br/>
              <w:t>Le boulanger utilise une bande numérique pour vérifier.</w:t>
              <w:br/>
              <w:br/>
              <w:t>Différenciation → Élèves à besoins : jouer uniquement avec des articles à 1 jeton, focus sur le dénombrement du reste. Élèves en réussite (GS) : noter eux-mêmes sur une ardoise les achats réalisés et calculer leur budget restant.</w:t>
              <w:br/>
              <w:br/>
              <w:t>En fin d'atelier, le boulanger compte sa recette totale et l'annonce au groupe.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center"/>
              <w:rPr>
                <w:b/>
                <w:bCs/>
                <w:sz w:val="36"/>
                <w:szCs w:val="36"/>
                <w:u w:val="none"/>
              </w:rPr>
            </w:pPr>
            <w:r>
              <w:rPr>
                <w:b/>
                <w:bCs/>
                <w:sz w:val="36"/>
                <w:szCs w:val="36"/>
                <w:u w:val="none"/>
              </w:rPr>
            </w:r>
          </w:p>
        </w:tc>
        <w:tc>
          <w:tcPr>
            <w:tcW w:w="549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>Bilan ; 5 min</w:t>
              <w:br/>
              <w:br/>
              <w:t>Verbalisation : « Qu'avez-vous appris à faire ? »</w:t>
              <w:br/>
              <w:t>Compléter une affiche de classe « Je sais... compter jusqu'à 10, payer le bon nombre de jetons, vérifier ma monnaie. »</w:t>
              <w:br/>
              <w:t>Coller une vignette sur l'affiche individuelle de suivi (auto-évaluation symbolique par smiley).</w:t>
            </w:r>
          </w:p>
          <w:p>
            <w:pPr>
              <w:pStyle w:val="Contenudetableauuser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>©</w:t>
      </w:r>
      <w:r>
        <w:rPr>
          <w:sz w:val="24"/>
          <w:szCs w:val="24"/>
        </w:rPr>
        <w:t xml:space="preserve"> Paternité - Reproduction sur internet interdite &amp; Utilisation non commerciale.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3212465</wp:posOffset>
            </wp:positionH>
            <wp:positionV relativeFrom="paragraph">
              <wp:posOffset>158115</wp:posOffset>
            </wp:positionV>
            <wp:extent cx="3505200" cy="58483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Ce document a été téléchargé sur le site </w:t>
      </w:r>
      <w:hyperlink r:id="rId7">
        <w:r>
          <w:rPr>
            <w:rStyle w:val="Hyperlink"/>
            <w:b/>
            <w:bCs/>
            <w:sz w:val="24"/>
            <w:szCs w:val="24"/>
          </w:rPr>
          <w:t>Bureau des Profs</w:t>
        </w:r>
      </w:hyperlink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/>
      </w:pPr>
      <w:r>
        <w:rPr>
          <w:color w:val="auto"/>
          <w:sz w:val="24"/>
          <w:szCs w:val="24"/>
        </w:rPr>
        <w:t xml:space="preserve">Si cette ressource vous </w:t>
      </w:r>
      <w:r>
        <w:rPr>
          <w:b/>
          <w:bCs/>
          <w:color w:val="auto"/>
          <w:sz w:val="24"/>
          <w:szCs w:val="24"/>
        </w:rPr>
        <w:t>a fait gagner du temps</w:t>
      </w:r>
      <w:r>
        <w:rPr>
          <w:color w:val="auto"/>
          <w:sz w:val="24"/>
          <w:szCs w:val="24"/>
        </w:rPr>
        <w:t xml:space="preserve">, faites en gagner à vos collègues en partageant vous aussi votre travail directement par mail à </w:t>
      </w:r>
      <w:hyperlink r:id="rId8">
        <w:r>
          <w:rPr>
            <w:rStyle w:val="Hyperlink"/>
            <w:color w:val="auto"/>
            <w:sz w:val="24"/>
            <w:szCs w:val="24"/>
          </w:rPr>
          <w:t>partageons-BDP@outlook.fr</w:t>
        </w:r>
      </w:hyperlink>
      <w:r>
        <w:rPr>
          <w:color w:val="auto"/>
          <w:sz w:val="24"/>
          <w:szCs w:val="24"/>
        </w:rPr>
        <w:t xml:space="preserve"> ou sur le site.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© bureaudesprofs.com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Aucune reproduction, même partielle, autres que celles prévues à l'article L 122-5 du code de la propriété intellectuelle, ne peut être faite sans l'autorisation expresse de l'auteur. Impression autorisée pour une utilisation dans le cadre scolaire uniquement. Le document est mis à disposition pour un usage non commercial. Redistribution en ligne interdite. Partage partiel avec redirection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vers le site et citation de la source. Conditions d’utilisation applicables : </w:t>
      </w:r>
      <w:hyperlink r:id="rId9">
        <w:r>
          <w:rPr>
            <w:rStyle w:val="Hyperlink"/>
            <w:sz w:val="24"/>
            <w:szCs w:val="24"/>
          </w:rPr>
          <w:t>https://bureaudesprofs.com/conditions-utilisation</w:t>
        </w:r>
      </w:hyperlink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Textesourceuser">
    <w:name w:val="Texte source (user)"/>
    <w:qFormat/>
    <w:rPr>
      <w:rFonts w:ascii="Liberation Mono" w:hAnsi="Liberation Mono" w:eastAsia="NSimSun" w:cs="Liberation Mono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En-tteetpieddepageuser">
    <w:name w:val="En-tête et pied de page (user)"/>
    <w:basedOn w:val="Normal"/>
    <w:qFormat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En-tteetpieddepageuser"/>
    <w:pPr>
      <w:suppressLineNumbers/>
    </w:pPr>
    <w:rPr>
      <w:sz w:val="20"/>
    </w:rPr>
  </w:style>
  <w:style w:type="paragraph" w:styleId="Footer">
    <w:name w:val="footer"/>
    <w:basedOn w:val="En-tteetpieddepageuser"/>
    <w:pPr>
      <w:suppressLineNumbers/>
    </w:pPr>
    <w:rPr>
      <w:sz w:val="20"/>
    </w:rPr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reaudesprofs.com/category/ressources" TargetMode="External"/><Relationship Id="rId4" Type="http://schemas.openxmlformats.org/officeDocument/2006/relationships/hyperlink" Target="https://bureaudesprofs.com/category/ressources" TargetMode="External"/><Relationship Id="rId5" Type="http://schemas.openxmlformats.org/officeDocument/2006/relationships/hyperlink" Target="https://bureaudesprofs.com/" TargetMode="External"/><Relationship Id="rId6" Type="http://schemas.openxmlformats.org/officeDocument/2006/relationships/image" Target="media/image2.png"/><Relationship Id="rId7" Type="http://schemas.openxmlformats.org/officeDocument/2006/relationships/hyperlink" Target="https://bureaudesprofs.com/" TargetMode="External"/><Relationship Id="rId8" Type="http://schemas.openxmlformats.org/officeDocument/2006/relationships/hyperlink" Target="mailto:partageons-BDP@outlook.fr" TargetMode="External"/><Relationship Id="rId9" Type="http://schemas.openxmlformats.org/officeDocument/2006/relationships/hyperlink" Target="https://bureaudesprofs.com/conditions-utilisation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template-arial</Template>
  <TotalTime>175</TotalTime>
  <Application>LibreOffice/25.8.4.2$Windows_X86_64 LibreOffice_project/290daaa01b999472f0c7a3890eb6a550fd74c6df</Application>
  <AppVersion>15.0000</AppVersion>
  <Pages>6</Pages>
  <Words>1014</Words>
  <Characters>5222</Characters>
  <CharactersWithSpaces>6267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2025-12-31T16:09:01Z</dcterms:created>
  <dc:creator/>
  <dc:description/>
  <dc:language>fr-FR</dc:language>
  <cp:lastModifiedBy/>
  <cp:lastPrinted>2026-02-19T20:00:27Z</cp:lastPrinted>
  <dcterms:modified xsi:type="dcterms:W3CDTF">2026-02-19T21:21:16Z</dcterms:modified>
  <cp:revision>125</cp:revision>
  <dc:subject/>
  <dc:title>template-arial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